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项目名称：生信学习工作站（第二次）</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项目编号：BSRMYY-YNCG-2026-08020</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C1E8C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微软雅黑" w:hAnsi="微软雅黑" w:eastAsia="微软雅黑" w:cs="微软雅黑"/>
                <w:i w:val="0"/>
                <w:caps w:val="0"/>
                <w:color w:val="555555"/>
                <w:spacing w:val="0"/>
                <w:kern w:val="0"/>
                <w:sz w:val="21"/>
                <w:szCs w:val="21"/>
                <w:lang w:val="en-US" w:eastAsia="zh-CN" w:bidi="ar"/>
              </w:rPr>
              <w:t>生信学习工作站</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25000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1台</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25000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25000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77599133">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（1）背景：用于生物信息分析 + 孟德尔随机化（MR）研究。当前无深度学习 / 图像训练需求，配置兼顾未来通用 GPU 计算余量</w:t>
      </w:r>
    </w:p>
    <w:p w14:paraId="6F5B1F65">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（2）数量：1 台（含显示器，兼容机整机交付）</w:t>
      </w:r>
      <w:bookmarkStart w:id="2" w:name="_GoBack"/>
      <w:bookmarkEnd w:id="2"/>
    </w:p>
    <w:p w14:paraId="05466636">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（3）核心硬件配置：</w:t>
      </w:r>
    </w:p>
    <w:p w14:paraId="60596E6B">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处理器：16核心32线程，ZEN5架构，L2缓存≥16MB，L3缓存≥64MB，支持AVX-512指令集</w:t>
      </w:r>
    </w:p>
    <w:p w14:paraId="13CDB051">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主板：配套本项目处理器，DDR5，内存插槽≥4个</w:t>
      </w:r>
    </w:p>
    <w:p w14:paraId="35B2450D">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内存：DDR5，总容量128GB（64GB*2）,频率≥6000MHz</w:t>
      </w:r>
    </w:p>
    <w:p w14:paraId="4DF1037F">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显卡：CUDA核心数≥2560个，8GB GDDR6，40 TFLOPS</w:t>
      </w:r>
    </w:p>
    <w:p w14:paraId="68F7BEC3">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存储：2TB NVMe PCIe 4.0 SSD * 1，五年质保，写入寿命≥1200TBW，原厂提供兼容性查询；</w:t>
      </w:r>
    </w:p>
    <w:p w14:paraId="373AD621">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4TB CMR HHD*1</w:t>
      </w:r>
    </w:p>
    <w:p w14:paraId="188A82AB">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电源：850W 金牌全模组，ATX 3.1，五年质保</w:t>
      </w:r>
    </w:p>
    <w:p w14:paraId="19CE5182">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散热器：双塔风冷，解热功率≥230W，配套本项目处理器连续满载工作不降频</w:t>
      </w:r>
    </w:p>
    <w:p w14:paraId="62754B0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机箱：中塔以上，ATX，配备12cm进气风扇数≥3</w:t>
      </w:r>
    </w:p>
    <w:p w14:paraId="0ECB94F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显示器：27英寸，2K IPS</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color w:val="auto"/>
          <w:kern w:val="0"/>
          <w:sz w:val="28"/>
          <w:szCs w:val="28"/>
          <w:lang w:val="en-US" w:eastAsia="zh-CN"/>
        </w:rPr>
        <w:t>其它：预装Windows 11 专业版,提供主板\显卡驱动完整套件，整体质保三年。</w:t>
      </w: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1台生信学习工作站最高限价23500元。供应商报价为人民币报价，包括但不限于设备费、配套辅材费、运输装卸费、安装调试费、资料装订及邮寄费、税费、保险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r>
        <w:rPr>
          <w:rFonts w:hint="eastAsia" w:ascii="方正仿宋_GBK" w:hAnsi="方正仿宋_GBK" w:eastAsia="方正仿宋_GBK" w:cs="方正仿宋_GBK"/>
          <w:color w:val="auto"/>
          <w:sz w:val="28"/>
          <w:szCs w:val="28"/>
          <w:lang w:val="en-US" w:eastAsia="zh-CN"/>
        </w:rPr>
        <w:t>供应商应提供产品分项报价，承诺采购人1年内续购该产品时供应商不得高于此次成交价执行且不得高于续购时全市采购平均价。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（2）培训要求：成交供应商对其提供产品首次使用前进行培训，确保操作人员能正确熟练地使用。</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一般情况接采购人通知后7天完成，特殊情况3天完成。</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582077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①货物到达现场后，成交供应商应经采购人或其指定验收单位清点品名、规格、数量；检查外观，作出验收记录，双方签字确认。</w:t>
      </w:r>
    </w:p>
    <w:p w14:paraId="7F65D3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②成交供应商应保证货物到达采购人所在地完好无损，生产日期应为1年以内的全新产品，如有缺漏、损坏，由成交供应商负责调换、补齐或赔偿。送货时，产品注册证在有效期内。</w:t>
      </w:r>
    </w:p>
    <w:p w14:paraId="3FE375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成交供应商应提供完备的技术资料、装箱单和合格证等，并派遣专业技术人员进行现场安装调试。验收合格条件如下：设备技术参数与采购合同一致，性能指标达到规定的标准。货物技术资料、装箱单、合格证等资料齐全。在系统试运行期间所出现的问题得到解决，并运行正常。在规定时间内完成交货并验收，并经采购人确认。</w:t>
      </w:r>
    </w:p>
    <w:p w14:paraId="41B79DF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④产品在安装调试并试运行1个月无异常，才作为最终验收；特殊情况采购人可根据需要随机抽取一部分货物送有关权威检测部门检测，检测结果作为验收前提条件。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⑦产品在验收合格前，在送货、安装、调试过程中发生的一切安全事件和损失均由成交供应商负责，承担一切法律后果和经济损失。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⑧验收合格后，供应商应将产品所有资料移交采购人，包括设备合格证、出厂检测报告、原厂说明书、操作手册、产品外包装等。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⑨在使用过程中发现质量安全问题，成交供应商应与采购人共同对货物进行调查，必要时双方可封存并委托第三方公司进行检测鉴定，费用由供应商承担。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⑩供应商提供的设备按照国家相关要求，应对需要进行计量检测的设备提供有资质的第三方计量检测合格报告。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⑪验收产生争议，采购人有权委托有资质的第三方机构进行验收，相关费用由供应商承担。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95%，剩余5%待合同所有权利义务终止后支付。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3年，内存、SSD存储、电源质保不低于五年；质保期内非认为损坏免费更换或维修，配件有原厂执行标准的，按原厂质保处理；故障响应要求30分钟电话响应，4小时到达医院处置。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PACS、电生理系统、病例信息系统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default" w:ascii="Calibri" w:hAnsi="Calibri" w:eastAsia="方正仿宋_GBK" w:cs="Calibri"/>
          <w:color w:val="auto"/>
          <w:sz w:val="28"/>
          <w:szCs w:val="28"/>
          <w:lang w:val="en-US" w:eastAsia="zh-CN"/>
        </w:rPr>
        <w:t>①</w:t>
      </w:r>
      <w:r>
        <w:rPr>
          <w:rFonts w:hint="eastAsia" w:ascii="方正仿宋_GBK" w:hAnsi="方正仿宋_GBK" w:eastAsia="方正仿宋_GBK" w:cs="方正仿宋_GBK"/>
          <w:color w:val="auto"/>
          <w:sz w:val="28"/>
          <w:szCs w:val="28"/>
          <w:lang w:val="en-US" w:eastAsia="zh-CN"/>
        </w:rPr>
        <w:t>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全新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default" w:ascii="Calibri" w:hAnsi="Calibri" w:eastAsia="方正仿宋_GBK" w:cs="Calibri"/>
          <w:color w:val="auto"/>
          <w:sz w:val="28"/>
          <w:szCs w:val="28"/>
          <w:lang w:val="en-US" w:eastAsia="zh-CN"/>
        </w:rPr>
        <w:t>②</w:t>
      </w:r>
      <w:r>
        <w:rPr>
          <w:rFonts w:hint="eastAsia" w:ascii="方正仿宋_GBK" w:hAnsi="方正仿宋_GBK" w:eastAsia="方正仿宋_GBK" w:cs="方正仿宋_GBK"/>
          <w:color w:val="auto"/>
          <w:sz w:val="28"/>
          <w:szCs w:val="28"/>
          <w:lang w:val="en-US" w:eastAsia="zh-CN"/>
        </w:rPr>
        <w:t>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12021471">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7.信息安全责任条款</w:t>
      </w:r>
    </w:p>
    <w:p w14:paraId="52127464">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（1）责任范围</w:t>
      </w:r>
    </w:p>
    <w:p w14:paraId="1D4610C5">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供货人保证其提供的产品（含软硬件、驱动程序）及服务不存在已知或应知的恶意代码、未授权后门、隐蔽通道等安全缺陷，且所有操作符合《网络安全法》《数据安全法》及国家强制性标准（如GB/T 22239-2019）。</w:t>
      </w:r>
    </w:p>
    <w:p w14:paraId="4D6EE50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（2）信息安全违约情形</w:t>
      </w:r>
    </w:p>
    <w:p w14:paraId="2B636792">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因供货人产品/服务存在以下情形导致采购人发生安全事件（系统中断、数据泄露、恶意攻击扩散等），视为根本违约：</w:t>
      </w:r>
    </w:p>
    <w:p w14:paraId="7C888A49">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①</w:t>
      </w:r>
      <w:r>
        <w:rPr>
          <w:rFonts w:hint="eastAsia" w:ascii="方正仿宋_GBK" w:hAnsi="方正仿宋_GBK" w:eastAsia="方正仿宋_GBK" w:cs="方正仿宋_GBK"/>
          <w:color w:val="auto"/>
          <w:kern w:val="2"/>
          <w:sz w:val="28"/>
          <w:szCs w:val="28"/>
          <w:lang w:val="en-US" w:eastAsia="zh-CN" w:bidi="ar-SA"/>
        </w:rPr>
        <w:t>故意植入恶意功能；</w:t>
      </w:r>
    </w:p>
    <w:p w14:paraId="5A836A33">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②</w:t>
      </w:r>
      <w:r>
        <w:rPr>
          <w:rFonts w:hint="eastAsia" w:ascii="方正仿宋_GBK" w:hAnsi="方正仿宋_GBK" w:eastAsia="方正仿宋_GBK" w:cs="方正仿宋_GBK"/>
          <w:color w:val="auto"/>
          <w:kern w:val="2"/>
          <w:sz w:val="28"/>
          <w:szCs w:val="28"/>
          <w:lang w:val="en-US" w:eastAsia="zh-CN" w:bidi="ar-SA"/>
        </w:rPr>
        <w:t>隐瞒已知安全漏洞且未告知；</w:t>
      </w:r>
    </w:p>
    <w:p w14:paraId="70184895">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③</w:t>
      </w:r>
      <w:r>
        <w:rPr>
          <w:rFonts w:hint="eastAsia" w:ascii="方正仿宋_GBK" w:hAnsi="方正仿宋_GBK" w:eastAsia="方正仿宋_GBK" w:cs="方正仿宋_GBK"/>
          <w:color w:val="auto"/>
          <w:kern w:val="2"/>
          <w:sz w:val="28"/>
          <w:szCs w:val="28"/>
          <w:lang w:val="en-US" w:eastAsia="zh-CN" w:bidi="ar-SA"/>
        </w:rPr>
        <w:t>运维操作违反国家强制性安全规范。</w:t>
      </w:r>
    </w:p>
    <w:p w14:paraId="5FBBA81C">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（3）信息安全赔偿责任</w:t>
      </w:r>
    </w:p>
    <w:p w14:paraId="40036B01">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发生上述违约时，供货人须承担：</w:t>
      </w:r>
    </w:p>
    <w:p w14:paraId="2261C067">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①</w:t>
      </w:r>
      <w:r>
        <w:rPr>
          <w:rFonts w:hint="eastAsia" w:ascii="方正仿宋_GBK" w:hAnsi="方正仿宋_GBK" w:eastAsia="方正仿宋_GBK" w:cs="方正仿宋_GBK"/>
          <w:color w:val="auto"/>
          <w:kern w:val="2"/>
          <w:sz w:val="28"/>
          <w:szCs w:val="28"/>
          <w:lang w:val="en-US" w:eastAsia="zh-CN" w:bidi="ar-SA"/>
        </w:rPr>
        <w:t>基础违约金：合同总额的10%（用于覆盖应急响应、取证评估等基础费用）；</w:t>
      </w:r>
    </w:p>
    <w:p w14:paraId="6C064F57">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②</w:t>
      </w:r>
      <w:r>
        <w:rPr>
          <w:rFonts w:hint="eastAsia" w:ascii="方正仿宋_GBK" w:hAnsi="方正仿宋_GBK" w:eastAsia="方正仿宋_GBK" w:cs="方正仿宋_GBK"/>
          <w:color w:val="auto"/>
          <w:kern w:val="2"/>
          <w:sz w:val="28"/>
          <w:szCs w:val="28"/>
          <w:lang w:val="en-US" w:eastAsia="zh-CN" w:bidi="ar-SA"/>
        </w:rPr>
        <w:t>直接损失赔偿：采购人实际遭受的经济损失；</w:t>
      </w:r>
    </w:p>
    <w:p w14:paraId="36D6407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③</w:t>
      </w:r>
      <w:r>
        <w:rPr>
          <w:rFonts w:hint="eastAsia" w:ascii="方正仿宋_GBK" w:hAnsi="方正仿宋_GBK" w:eastAsia="方正仿宋_GBK" w:cs="方正仿宋_GBK"/>
          <w:color w:val="auto"/>
          <w:kern w:val="2"/>
          <w:sz w:val="28"/>
          <w:szCs w:val="28"/>
          <w:lang w:val="en-US" w:eastAsia="zh-CN" w:bidi="ar-SA"/>
        </w:rPr>
        <w:t>惩罚性赔偿：若存在主观恶意，追加合同总额20%的赔偿。</w:t>
      </w:r>
    </w:p>
    <w:p w14:paraId="3DC53F1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（4）免责与减责</w:t>
      </w:r>
    </w:p>
    <w:p w14:paraId="14FC6ABE">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①</w:t>
      </w:r>
      <w:r>
        <w:rPr>
          <w:rFonts w:hint="eastAsia" w:ascii="方正仿宋_GBK" w:hAnsi="方正仿宋_GBK" w:eastAsia="方正仿宋_GBK" w:cs="方正仿宋_GBK"/>
          <w:color w:val="auto"/>
          <w:kern w:val="2"/>
          <w:sz w:val="28"/>
          <w:szCs w:val="28"/>
          <w:lang w:val="en-US" w:eastAsia="zh-CN" w:bidi="ar-SA"/>
        </w:rPr>
        <w:t>因采购人未按安全指南使用设备（如未安装补丁、禁用安全功能）导致损失，供货人责任相应减免；</w:t>
      </w:r>
    </w:p>
    <w:p w14:paraId="315C06D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②</w:t>
      </w:r>
      <w:r>
        <w:rPr>
          <w:rFonts w:hint="eastAsia" w:ascii="方正仿宋_GBK" w:hAnsi="方正仿宋_GBK" w:eastAsia="方正仿宋_GBK" w:cs="方正仿宋_GBK"/>
          <w:color w:val="auto"/>
          <w:kern w:val="2"/>
          <w:sz w:val="28"/>
          <w:szCs w:val="28"/>
          <w:lang w:val="en-US" w:eastAsia="zh-CN" w:bidi="ar-SA"/>
        </w:rPr>
        <w:t>开源组件或供应链上游漏洞导致的客观风险，供货人及时通报并协助处置的，可免除惩罚性赔偿。</w:t>
      </w:r>
    </w:p>
    <w:p w14:paraId="41612C88">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（5）证据规则</w:t>
      </w:r>
    </w:p>
    <w:p w14:paraId="7889FC2E">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安全事件归责需由重庆市网安部门（市公安局网安总队/市委网信办）通报或国家级网络安全机构（如CNVD、CNNVD）或双方认可的第三方实验室出具鉴定报告。供货人应在收到报告后5个工作日内书面回应，逾期视为认可结论。</w:t>
      </w:r>
    </w:p>
    <w:p w14:paraId="4DC4AB3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8.知识产权</w:t>
      </w:r>
    </w:p>
    <w:p w14:paraId="0CD69CEE">
      <w:pPr>
        <w:pStyle w:val="2"/>
        <w:ind w:firstLine="536" w:firstLineChars="200"/>
        <w:rPr>
          <w:rFonts w:hint="default"/>
          <w:lang w:val="en-US" w:eastAsia="zh-CN"/>
        </w:rPr>
      </w:pPr>
      <w:r>
        <w:rPr>
          <w:rFonts w:hint="eastAsia" w:ascii="方正仿宋_GBK" w:hAnsi="方正仿宋_GBK" w:eastAsia="方正仿宋_GBK" w:cs="方正仿宋_GBK"/>
          <w:spacing w:val="-6"/>
          <w:sz w:val="28"/>
          <w:szCs w:val="28"/>
          <w:lang w:val="en-US" w:eastAsia="zh-CN"/>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10.违约责任</w:t>
      </w:r>
    </w:p>
    <w:p w14:paraId="7FF4D38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（1）质量与安全责任：供货人货物不合规、有设计缺陷或含恶意代码导致采购人损失的，供货人承担全部责任及修复费用；若发生数据/隐私泄露，需退还已付款项并支付合同金额1倍违约金。</w:t>
      </w:r>
    </w:p>
    <w:p w14:paraId="72A3D6E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（2）逾期违约：延迟交货每日罚合同总额5%；验收不合格或服务不达标限期整改（逾期日罚千分之三）；配套服务缺失每次罚500元。</w:t>
      </w:r>
    </w:p>
    <w:p w14:paraId="751115C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解除合同与重罚：逾期超10日、整改超20日、服务违约超2次，或出现虚假材料、违反廉洁协议、资质失效、货不对板、年度违约5次等情形，采购人有权拒付/退款并单方解约，供货人通常需承担合同总额30%的违约金。</w:t>
      </w:r>
    </w:p>
    <w:p w14:paraId="65B19FB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（4）恶意行为加重处罚：若供货人明知产品有缺陷仍交付或隐瞒不报，采购人解约时供货人需承担项目金额3倍的违约金。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（6）供应商提供的竞标资料不真实的，承担因此给采购人造成的一切损失，同时采购人有权单方面终止合同并将其列为“供应商不良行为记录名单”进行管理。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（7）合同履行期间发生争议双方协商，协商不成向重庆市璧山区人民法院提起诉讼。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11.</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（6）本项目不接受联合体参与投标，也不接受分包。</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响应，第二次询价至少2家有效供应商响应；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45ED059B">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（12）如发现供应商之间有围串标风险，供应商应将投标响应文件WORD的电子档上传到采购公告的邮箱，便于采购人审查评估。</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840" w:firstLineChars="3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w:t>
      </w:r>
      <w:r>
        <w:rPr>
          <w:rFonts w:hint="eastAsia" w:ascii="仿宋_GB2312" w:eastAsia="仿宋_GB2312" w:cs="宋体"/>
          <w:kern w:val="2"/>
          <w:sz w:val="32"/>
          <w:szCs w:val="32"/>
          <w:lang w:val="en-US" w:eastAsia="zh-CN" w:bidi="ar-SA"/>
        </w:rPr>
        <w:t>产品</w:t>
      </w:r>
      <w:r>
        <w:rPr>
          <w:rFonts w:hint="eastAsia" w:ascii="仿宋_GB2312" w:hAnsi="宋体" w:eastAsia="仿宋_GB2312" w:cs="宋体"/>
          <w:kern w:val="2"/>
          <w:sz w:val="32"/>
          <w:szCs w:val="32"/>
          <w:lang w:val="en-US" w:eastAsia="zh-CN" w:bidi="ar-SA"/>
        </w:rPr>
        <w:t>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BF40AC"/>
    <w:rsid w:val="08DA36DA"/>
    <w:rsid w:val="08F7358B"/>
    <w:rsid w:val="093E5041"/>
    <w:rsid w:val="097C4781"/>
    <w:rsid w:val="09C01FBF"/>
    <w:rsid w:val="0A4800D1"/>
    <w:rsid w:val="0B792B3E"/>
    <w:rsid w:val="0C480432"/>
    <w:rsid w:val="0C872834"/>
    <w:rsid w:val="0C974041"/>
    <w:rsid w:val="0CCD640E"/>
    <w:rsid w:val="0CE64C8D"/>
    <w:rsid w:val="0DC82D83"/>
    <w:rsid w:val="0DFA6149"/>
    <w:rsid w:val="0E133025"/>
    <w:rsid w:val="0E4B734D"/>
    <w:rsid w:val="0EE213FB"/>
    <w:rsid w:val="0F590216"/>
    <w:rsid w:val="0F8F35E7"/>
    <w:rsid w:val="0FD01451"/>
    <w:rsid w:val="11496350"/>
    <w:rsid w:val="122D0B62"/>
    <w:rsid w:val="12586ED9"/>
    <w:rsid w:val="133D5E0A"/>
    <w:rsid w:val="137666E0"/>
    <w:rsid w:val="13CB146C"/>
    <w:rsid w:val="14363136"/>
    <w:rsid w:val="15CF79D4"/>
    <w:rsid w:val="160B0FFC"/>
    <w:rsid w:val="16CD49B3"/>
    <w:rsid w:val="175A630E"/>
    <w:rsid w:val="17812CB3"/>
    <w:rsid w:val="17882BA0"/>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5C4CD7"/>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1E6B6F"/>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3561</Words>
  <Characters>3759</Characters>
  <Lines>0</Lines>
  <Paragraphs>0</Paragraphs>
  <TotalTime>2</TotalTime>
  <ScaleCrop>false</ScaleCrop>
  <LinksUpToDate>false</LinksUpToDate>
  <CharactersWithSpaces>3798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2026-09-07T01:57:48Z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